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014" w14:textId="27012E90" w:rsidR="00A85831" w:rsidRDefault="005C49D6" w:rsidP="00A85831">
      <w:pPr>
        <w:rPr>
          <w:rFonts w:cstheme="minorHAnsi"/>
          <w:b/>
          <w:u w:val="single"/>
        </w:rPr>
      </w:pPr>
      <w:r w:rsidRPr="00A85831">
        <w:rPr>
          <w:rFonts w:cstheme="minorHAnsi"/>
          <w:b/>
          <w:u w:val="single"/>
        </w:rPr>
        <w:t>Equality objectives for 2017 – 202</w:t>
      </w:r>
      <w:r w:rsidR="00975BB6">
        <w:rPr>
          <w:rFonts w:cstheme="minorHAnsi"/>
          <w:b/>
          <w:u w:val="single"/>
        </w:rPr>
        <w:t>1</w:t>
      </w:r>
      <w:r w:rsidR="00A85831">
        <w:rPr>
          <w:rFonts w:cstheme="minorHAnsi"/>
          <w:b/>
          <w:u w:val="single"/>
        </w:rPr>
        <w:t xml:space="preserve"> </w:t>
      </w:r>
    </w:p>
    <w:p w14:paraId="2A80A039" w14:textId="519BE274" w:rsidR="00A85831" w:rsidRDefault="00AC0E77" w:rsidP="00A85831">
      <w:pPr>
        <w:rPr>
          <w:rFonts w:cstheme="minorHAnsi"/>
        </w:rPr>
      </w:pPr>
      <w:r>
        <w:rPr>
          <w:rFonts w:cstheme="minorHAnsi"/>
        </w:rPr>
        <w:t>Review with the last set of national data - 2019</w:t>
      </w:r>
    </w:p>
    <w:tbl>
      <w:tblPr>
        <w:tblStyle w:val="TableGrid"/>
        <w:tblW w:w="0" w:type="auto"/>
        <w:tblLook w:val="04A0" w:firstRow="1" w:lastRow="0" w:firstColumn="1" w:lastColumn="0" w:noHBand="0" w:noVBand="1"/>
      </w:tblPr>
      <w:tblGrid>
        <w:gridCol w:w="10456"/>
      </w:tblGrid>
      <w:tr w:rsidR="00C429D2" w14:paraId="541BFDAF" w14:textId="77777777" w:rsidTr="00C429D2">
        <w:tc>
          <w:tcPr>
            <w:tcW w:w="10456" w:type="dxa"/>
            <w:shd w:val="clear" w:color="auto" w:fill="D9D9D9" w:themeFill="background1" w:themeFillShade="D9"/>
          </w:tcPr>
          <w:p w14:paraId="238F8632" w14:textId="77777777" w:rsidR="00C429D2" w:rsidRPr="009245DC" w:rsidRDefault="00C429D2" w:rsidP="00A85831">
            <w:pPr>
              <w:pStyle w:val="ListParagraph"/>
              <w:numPr>
                <w:ilvl w:val="0"/>
                <w:numId w:val="1"/>
              </w:numPr>
              <w:ind w:left="360"/>
              <w:rPr>
                <w:rFonts w:cstheme="minorHAnsi"/>
                <w:b/>
                <w:sz w:val="21"/>
                <w:szCs w:val="21"/>
              </w:rPr>
            </w:pPr>
            <w:r w:rsidRPr="009245DC">
              <w:rPr>
                <w:rFonts w:cstheme="minorHAnsi"/>
                <w:b/>
                <w:sz w:val="21"/>
                <w:szCs w:val="21"/>
              </w:rPr>
              <w:t xml:space="preserve">We will seek to narrow the gap between the progress made by our disadvantaged children across KS2 in reading and writing as compared to the progress made by disadvantaged children nationally. </w:t>
            </w:r>
          </w:p>
        </w:tc>
      </w:tr>
      <w:tr w:rsidR="00C429D2" w14:paraId="628ACA60" w14:textId="77777777" w:rsidTr="00C429D2">
        <w:tc>
          <w:tcPr>
            <w:tcW w:w="10456" w:type="dxa"/>
          </w:tcPr>
          <w:p w14:paraId="50E01464" w14:textId="77777777" w:rsidR="00C429D2" w:rsidRPr="009245DC" w:rsidRDefault="00C429D2" w:rsidP="00C429D2">
            <w:pPr>
              <w:rPr>
                <w:rFonts w:cstheme="minorHAnsi"/>
                <w:i/>
                <w:sz w:val="21"/>
                <w:szCs w:val="21"/>
              </w:rPr>
            </w:pPr>
            <w:r w:rsidRPr="009245DC">
              <w:rPr>
                <w:rFonts w:cstheme="minorHAnsi"/>
                <w:i/>
                <w:sz w:val="21"/>
                <w:szCs w:val="21"/>
              </w:rPr>
              <w:t>(In 2017 the gap is: -0.7 for Reading, -1.68 for Writing)</w:t>
            </w:r>
          </w:p>
          <w:p w14:paraId="3F7B16CC" w14:textId="77777777" w:rsidR="009245DC" w:rsidRPr="009245DC" w:rsidRDefault="009245DC" w:rsidP="00C429D2">
            <w:pPr>
              <w:rPr>
                <w:rFonts w:cstheme="minorHAnsi"/>
                <w:sz w:val="21"/>
                <w:szCs w:val="21"/>
              </w:rPr>
            </w:pPr>
          </w:p>
          <w:p w14:paraId="70265B1C" w14:textId="77777777" w:rsidR="00C429D2" w:rsidRPr="009245DC" w:rsidRDefault="00981737" w:rsidP="00C429D2">
            <w:pPr>
              <w:rPr>
                <w:rFonts w:cstheme="minorHAnsi"/>
                <w:sz w:val="21"/>
                <w:szCs w:val="21"/>
              </w:rPr>
            </w:pPr>
            <w:r>
              <w:rPr>
                <w:rFonts w:cstheme="minorHAnsi"/>
                <w:sz w:val="21"/>
                <w:szCs w:val="21"/>
              </w:rPr>
              <w:t xml:space="preserve">We </w:t>
            </w:r>
            <w:r w:rsidR="00C429D2" w:rsidRPr="009245DC">
              <w:rPr>
                <w:rFonts w:cstheme="minorHAnsi"/>
                <w:sz w:val="21"/>
                <w:szCs w:val="21"/>
              </w:rPr>
              <w:t>can report that the outcomes for Pupil Premium children, with their reading, writing and mathematics progress towards the end of KS2, demonstrates a 3 year upward trend as follows:</w:t>
            </w:r>
          </w:p>
          <w:p w14:paraId="0A823A8F" w14:textId="77777777" w:rsidR="00C429D2" w:rsidRPr="009245DC" w:rsidRDefault="00C429D2" w:rsidP="00C429D2">
            <w:pPr>
              <w:rPr>
                <w:rFonts w:cstheme="minorHAnsi"/>
                <w:sz w:val="21"/>
                <w:szCs w:val="21"/>
              </w:rPr>
            </w:pPr>
          </w:p>
          <w:p w14:paraId="410D3D51" w14:textId="77777777" w:rsidR="00C429D2" w:rsidRPr="009245DC" w:rsidRDefault="00C429D2" w:rsidP="00C429D2">
            <w:pPr>
              <w:rPr>
                <w:rFonts w:cstheme="minorHAnsi"/>
                <w:b/>
                <w:sz w:val="21"/>
                <w:szCs w:val="21"/>
              </w:rPr>
            </w:pPr>
            <w:r w:rsidRPr="009245DC">
              <w:rPr>
                <w:rFonts w:cstheme="minorHAnsi"/>
                <w:b/>
                <w:sz w:val="21"/>
                <w:szCs w:val="21"/>
              </w:rPr>
              <w:t>KS2 progress for Pupil Premium pupils:</w:t>
            </w:r>
          </w:p>
          <w:tbl>
            <w:tblPr>
              <w:tblStyle w:val="TableGrid"/>
              <w:tblW w:w="7985" w:type="dxa"/>
              <w:tblLook w:val="04A0" w:firstRow="1" w:lastRow="0" w:firstColumn="1" w:lastColumn="0" w:noHBand="0" w:noVBand="1"/>
            </w:tblPr>
            <w:tblGrid>
              <w:gridCol w:w="1597"/>
              <w:gridCol w:w="1597"/>
              <w:gridCol w:w="1597"/>
              <w:gridCol w:w="1597"/>
              <w:gridCol w:w="1597"/>
            </w:tblGrid>
            <w:tr w:rsidR="00C429D2" w:rsidRPr="009245DC" w14:paraId="4A39B247" w14:textId="77777777" w:rsidTr="00C72249">
              <w:trPr>
                <w:trHeight w:val="257"/>
              </w:trPr>
              <w:tc>
                <w:tcPr>
                  <w:tcW w:w="1597" w:type="dxa"/>
                  <w:tcBorders>
                    <w:top w:val="nil"/>
                    <w:left w:val="nil"/>
                  </w:tcBorders>
                </w:tcPr>
                <w:p w14:paraId="33F61D33" w14:textId="77777777" w:rsidR="00C429D2" w:rsidRPr="009245DC" w:rsidRDefault="00C429D2" w:rsidP="00C429D2">
                  <w:pPr>
                    <w:rPr>
                      <w:rFonts w:cstheme="minorHAnsi"/>
                      <w:sz w:val="21"/>
                      <w:szCs w:val="21"/>
                    </w:rPr>
                  </w:pPr>
                </w:p>
              </w:tc>
              <w:tc>
                <w:tcPr>
                  <w:tcW w:w="1597" w:type="dxa"/>
                  <w:shd w:val="clear" w:color="auto" w:fill="BFBFBF" w:themeFill="background1" w:themeFillShade="BF"/>
                </w:tcPr>
                <w:p w14:paraId="03CB0007" w14:textId="77777777" w:rsidR="00C429D2" w:rsidRPr="009245DC" w:rsidRDefault="00C429D2" w:rsidP="00C429D2">
                  <w:pPr>
                    <w:rPr>
                      <w:rFonts w:cstheme="minorHAnsi"/>
                      <w:b/>
                      <w:sz w:val="21"/>
                      <w:szCs w:val="21"/>
                    </w:rPr>
                  </w:pPr>
                  <w:r w:rsidRPr="009245DC">
                    <w:rPr>
                      <w:rFonts w:cstheme="minorHAnsi"/>
                      <w:b/>
                      <w:sz w:val="21"/>
                      <w:szCs w:val="21"/>
                    </w:rPr>
                    <w:t>2017 (PP School)</w:t>
                  </w:r>
                </w:p>
              </w:tc>
              <w:tc>
                <w:tcPr>
                  <w:tcW w:w="1597" w:type="dxa"/>
                  <w:shd w:val="clear" w:color="auto" w:fill="BFBFBF" w:themeFill="background1" w:themeFillShade="BF"/>
                </w:tcPr>
                <w:p w14:paraId="1DCCBF7F" w14:textId="77777777" w:rsidR="00C429D2" w:rsidRPr="009245DC" w:rsidRDefault="00C429D2" w:rsidP="00C429D2">
                  <w:pPr>
                    <w:rPr>
                      <w:rFonts w:cstheme="minorHAnsi"/>
                      <w:b/>
                      <w:sz w:val="21"/>
                      <w:szCs w:val="21"/>
                    </w:rPr>
                  </w:pPr>
                  <w:r w:rsidRPr="009245DC">
                    <w:rPr>
                      <w:rFonts w:cstheme="minorHAnsi"/>
                      <w:b/>
                      <w:sz w:val="21"/>
                      <w:szCs w:val="21"/>
                    </w:rPr>
                    <w:t>2018 (PP School)</w:t>
                  </w:r>
                </w:p>
              </w:tc>
              <w:tc>
                <w:tcPr>
                  <w:tcW w:w="1597" w:type="dxa"/>
                  <w:shd w:val="clear" w:color="auto" w:fill="BFBFBF" w:themeFill="background1" w:themeFillShade="BF"/>
                </w:tcPr>
                <w:p w14:paraId="52DB3265" w14:textId="77777777" w:rsidR="00C429D2" w:rsidRPr="009245DC" w:rsidRDefault="00C429D2" w:rsidP="00C429D2">
                  <w:pPr>
                    <w:rPr>
                      <w:rFonts w:cstheme="minorHAnsi"/>
                      <w:b/>
                      <w:sz w:val="21"/>
                      <w:szCs w:val="21"/>
                    </w:rPr>
                  </w:pPr>
                  <w:r w:rsidRPr="009245DC">
                    <w:rPr>
                      <w:rFonts w:cstheme="minorHAnsi"/>
                      <w:b/>
                      <w:sz w:val="21"/>
                      <w:szCs w:val="21"/>
                    </w:rPr>
                    <w:t>2019 (PP School)</w:t>
                  </w:r>
                </w:p>
              </w:tc>
              <w:tc>
                <w:tcPr>
                  <w:tcW w:w="1597" w:type="dxa"/>
                  <w:shd w:val="clear" w:color="auto" w:fill="BFBFBF" w:themeFill="background1" w:themeFillShade="BF"/>
                </w:tcPr>
                <w:p w14:paraId="3E291C91" w14:textId="77777777" w:rsidR="00C429D2" w:rsidRPr="009245DC" w:rsidRDefault="00981737" w:rsidP="00C429D2">
                  <w:pPr>
                    <w:rPr>
                      <w:rFonts w:cstheme="minorHAnsi"/>
                      <w:b/>
                      <w:sz w:val="21"/>
                      <w:szCs w:val="21"/>
                    </w:rPr>
                  </w:pPr>
                  <w:r>
                    <w:rPr>
                      <w:rFonts w:cstheme="minorHAnsi"/>
                      <w:b/>
                      <w:sz w:val="21"/>
                      <w:szCs w:val="21"/>
                    </w:rPr>
                    <w:t>2019</w:t>
                  </w:r>
                  <w:r w:rsidR="00C429D2" w:rsidRPr="009245DC">
                    <w:rPr>
                      <w:rFonts w:cstheme="minorHAnsi"/>
                      <w:b/>
                      <w:sz w:val="21"/>
                      <w:szCs w:val="21"/>
                    </w:rPr>
                    <w:t xml:space="preserve"> Non Pupil Premium Nationally</w:t>
                  </w:r>
                </w:p>
              </w:tc>
            </w:tr>
            <w:tr w:rsidR="00C429D2" w:rsidRPr="009245DC" w14:paraId="330F77CA" w14:textId="77777777" w:rsidTr="00C72249">
              <w:trPr>
                <w:trHeight w:val="257"/>
              </w:trPr>
              <w:tc>
                <w:tcPr>
                  <w:tcW w:w="1597" w:type="dxa"/>
                  <w:shd w:val="clear" w:color="auto" w:fill="F2F2F2" w:themeFill="background1" w:themeFillShade="F2"/>
                </w:tcPr>
                <w:p w14:paraId="22793233" w14:textId="77777777" w:rsidR="00C429D2" w:rsidRPr="009245DC" w:rsidRDefault="00C429D2" w:rsidP="00C429D2">
                  <w:pPr>
                    <w:rPr>
                      <w:rFonts w:cstheme="minorHAnsi"/>
                      <w:sz w:val="21"/>
                      <w:szCs w:val="21"/>
                    </w:rPr>
                  </w:pPr>
                  <w:r w:rsidRPr="009245DC">
                    <w:rPr>
                      <w:rFonts w:cstheme="minorHAnsi"/>
                      <w:sz w:val="21"/>
                      <w:szCs w:val="21"/>
                    </w:rPr>
                    <w:t>Reading</w:t>
                  </w:r>
                </w:p>
              </w:tc>
              <w:tc>
                <w:tcPr>
                  <w:tcW w:w="1597" w:type="dxa"/>
                  <w:shd w:val="clear" w:color="auto" w:fill="FFFFFF" w:themeFill="background1"/>
                </w:tcPr>
                <w:p w14:paraId="1E87914A" w14:textId="77777777" w:rsidR="00C429D2" w:rsidRPr="009245DC" w:rsidRDefault="00C429D2" w:rsidP="00C429D2">
                  <w:pPr>
                    <w:jc w:val="center"/>
                    <w:rPr>
                      <w:rFonts w:cstheme="minorHAnsi"/>
                      <w:sz w:val="21"/>
                      <w:szCs w:val="21"/>
                    </w:rPr>
                  </w:pPr>
                  <w:r w:rsidRPr="009245DC">
                    <w:rPr>
                      <w:rFonts w:cstheme="minorHAnsi"/>
                      <w:sz w:val="21"/>
                      <w:szCs w:val="21"/>
                    </w:rPr>
                    <w:t>-0.37</w:t>
                  </w:r>
                </w:p>
              </w:tc>
              <w:tc>
                <w:tcPr>
                  <w:tcW w:w="1597" w:type="dxa"/>
                  <w:shd w:val="clear" w:color="auto" w:fill="FFFFFF" w:themeFill="background1"/>
                </w:tcPr>
                <w:p w14:paraId="51DD97A7" w14:textId="77777777" w:rsidR="00C429D2" w:rsidRPr="009245DC" w:rsidRDefault="00C429D2" w:rsidP="00C429D2">
                  <w:pPr>
                    <w:jc w:val="center"/>
                    <w:rPr>
                      <w:rFonts w:cstheme="minorHAnsi"/>
                      <w:sz w:val="21"/>
                      <w:szCs w:val="21"/>
                    </w:rPr>
                  </w:pPr>
                  <w:r w:rsidRPr="009245DC">
                    <w:rPr>
                      <w:rFonts w:cstheme="minorHAnsi"/>
                      <w:sz w:val="21"/>
                      <w:szCs w:val="21"/>
                    </w:rPr>
                    <w:t>1.88</w:t>
                  </w:r>
                </w:p>
              </w:tc>
              <w:tc>
                <w:tcPr>
                  <w:tcW w:w="1597" w:type="dxa"/>
                  <w:shd w:val="clear" w:color="auto" w:fill="92D050"/>
                </w:tcPr>
                <w:p w14:paraId="3D0FBE5B" w14:textId="77777777" w:rsidR="00C429D2" w:rsidRPr="009245DC" w:rsidRDefault="00C429D2" w:rsidP="00C429D2">
                  <w:pPr>
                    <w:jc w:val="center"/>
                    <w:rPr>
                      <w:rFonts w:cstheme="minorHAnsi"/>
                      <w:sz w:val="21"/>
                      <w:szCs w:val="21"/>
                    </w:rPr>
                  </w:pPr>
                  <w:r w:rsidRPr="009245DC">
                    <w:rPr>
                      <w:rFonts w:cstheme="minorHAnsi"/>
                      <w:sz w:val="21"/>
                      <w:szCs w:val="21"/>
                    </w:rPr>
                    <w:t>3.81</w:t>
                  </w:r>
                </w:p>
              </w:tc>
              <w:tc>
                <w:tcPr>
                  <w:tcW w:w="1597" w:type="dxa"/>
                  <w:shd w:val="clear" w:color="auto" w:fill="FFFFFF" w:themeFill="background1"/>
                </w:tcPr>
                <w:p w14:paraId="200676FC" w14:textId="77777777" w:rsidR="00C429D2" w:rsidRPr="009245DC" w:rsidRDefault="00981737" w:rsidP="00C429D2">
                  <w:pPr>
                    <w:jc w:val="center"/>
                    <w:rPr>
                      <w:rFonts w:cstheme="minorHAnsi"/>
                      <w:sz w:val="21"/>
                      <w:szCs w:val="21"/>
                    </w:rPr>
                  </w:pPr>
                  <w:r>
                    <w:rPr>
                      <w:rFonts w:cstheme="minorHAnsi"/>
                      <w:sz w:val="21"/>
                      <w:szCs w:val="21"/>
                    </w:rPr>
                    <w:t>0.32</w:t>
                  </w:r>
                </w:p>
              </w:tc>
            </w:tr>
            <w:tr w:rsidR="00C429D2" w:rsidRPr="009245DC" w14:paraId="2A6DCDB4" w14:textId="77777777" w:rsidTr="00C72249">
              <w:trPr>
                <w:trHeight w:val="257"/>
              </w:trPr>
              <w:tc>
                <w:tcPr>
                  <w:tcW w:w="1597" w:type="dxa"/>
                  <w:shd w:val="clear" w:color="auto" w:fill="F2F2F2" w:themeFill="background1" w:themeFillShade="F2"/>
                </w:tcPr>
                <w:p w14:paraId="73735CD7" w14:textId="77777777" w:rsidR="00C429D2" w:rsidRPr="009245DC" w:rsidRDefault="00C429D2" w:rsidP="00C429D2">
                  <w:pPr>
                    <w:rPr>
                      <w:rFonts w:cstheme="minorHAnsi"/>
                      <w:sz w:val="21"/>
                      <w:szCs w:val="21"/>
                    </w:rPr>
                  </w:pPr>
                  <w:r w:rsidRPr="009245DC">
                    <w:rPr>
                      <w:rFonts w:cstheme="minorHAnsi"/>
                      <w:sz w:val="21"/>
                      <w:szCs w:val="21"/>
                    </w:rPr>
                    <w:t>Writing</w:t>
                  </w:r>
                </w:p>
              </w:tc>
              <w:tc>
                <w:tcPr>
                  <w:tcW w:w="1597" w:type="dxa"/>
                  <w:shd w:val="clear" w:color="auto" w:fill="FFFFFF" w:themeFill="background1"/>
                </w:tcPr>
                <w:p w14:paraId="2BBDA9DB" w14:textId="77777777" w:rsidR="00C429D2" w:rsidRPr="009245DC" w:rsidRDefault="00C429D2" w:rsidP="00C429D2">
                  <w:pPr>
                    <w:jc w:val="center"/>
                    <w:rPr>
                      <w:rFonts w:cstheme="minorHAnsi"/>
                      <w:sz w:val="21"/>
                      <w:szCs w:val="21"/>
                    </w:rPr>
                  </w:pPr>
                  <w:r w:rsidRPr="009245DC">
                    <w:rPr>
                      <w:rFonts w:cstheme="minorHAnsi"/>
                      <w:sz w:val="21"/>
                      <w:szCs w:val="21"/>
                    </w:rPr>
                    <w:t>-1.51</w:t>
                  </w:r>
                </w:p>
              </w:tc>
              <w:tc>
                <w:tcPr>
                  <w:tcW w:w="1597" w:type="dxa"/>
                  <w:shd w:val="clear" w:color="auto" w:fill="FFFFFF" w:themeFill="background1"/>
                </w:tcPr>
                <w:p w14:paraId="2629F2E1" w14:textId="77777777" w:rsidR="00C429D2" w:rsidRPr="009245DC" w:rsidRDefault="00C429D2" w:rsidP="00C429D2">
                  <w:pPr>
                    <w:jc w:val="center"/>
                    <w:rPr>
                      <w:rFonts w:cstheme="minorHAnsi"/>
                      <w:sz w:val="21"/>
                      <w:szCs w:val="21"/>
                    </w:rPr>
                  </w:pPr>
                  <w:r w:rsidRPr="009245DC">
                    <w:rPr>
                      <w:rFonts w:cstheme="minorHAnsi"/>
                      <w:sz w:val="21"/>
                      <w:szCs w:val="21"/>
                    </w:rPr>
                    <w:t>-0.72</w:t>
                  </w:r>
                </w:p>
              </w:tc>
              <w:tc>
                <w:tcPr>
                  <w:tcW w:w="1597" w:type="dxa"/>
                  <w:shd w:val="clear" w:color="auto" w:fill="92D050"/>
                </w:tcPr>
                <w:p w14:paraId="32575DAF" w14:textId="77777777" w:rsidR="00C429D2" w:rsidRPr="009245DC" w:rsidRDefault="00C429D2" w:rsidP="00C429D2">
                  <w:pPr>
                    <w:jc w:val="center"/>
                    <w:rPr>
                      <w:rFonts w:cstheme="minorHAnsi"/>
                      <w:sz w:val="21"/>
                      <w:szCs w:val="21"/>
                    </w:rPr>
                  </w:pPr>
                  <w:r w:rsidRPr="009245DC">
                    <w:rPr>
                      <w:rFonts w:cstheme="minorHAnsi"/>
                      <w:sz w:val="21"/>
                      <w:szCs w:val="21"/>
                    </w:rPr>
                    <w:t>0.94</w:t>
                  </w:r>
                </w:p>
              </w:tc>
              <w:tc>
                <w:tcPr>
                  <w:tcW w:w="1597" w:type="dxa"/>
                  <w:shd w:val="clear" w:color="auto" w:fill="FFFFFF" w:themeFill="background1"/>
                </w:tcPr>
                <w:p w14:paraId="5CB1C209" w14:textId="77777777" w:rsidR="00C429D2" w:rsidRPr="009245DC" w:rsidRDefault="00981737" w:rsidP="00C429D2">
                  <w:pPr>
                    <w:jc w:val="center"/>
                    <w:rPr>
                      <w:rFonts w:cstheme="minorHAnsi"/>
                      <w:sz w:val="21"/>
                      <w:szCs w:val="21"/>
                    </w:rPr>
                  </w:pPr>
                  <w:r>
                    <w:rPr>
                      <w:rFonts w:cstheme="minorHAnsi"/>
                      <w:sz w:val="21"/>
                      <w:szCs w:val="21"/>
                    </w:rPr>
                    <w:t>0.27</w:t>
                  </w:r>
                </w:p>
              </w:tc>
            </w:tr>
            <w:tr w:rsidR="00C429D2" w:rsidRPr="009245DC" w14:paraId="5103F2FC" w14:textId="77777777" w:rsidTr="00C72249">
              <w:trPr>
                <w:trHeight w:val="230"/>
              </w:trPr>
              <w:tc>
                <w:tcPr>
                  <w:tcW w:w="1597" w:type="dxa"/>
                  <w:shd w:val="clear" w:color="auto" w:fill="F2F2F2" w:themeFill="background1" w:themeFillShade="F2"/>
                </w:tcPr>
                <w:p w14:paraId="51794496" w14:textId="77777777" w:rsidR="00C429D2" w:rsidRPr="009245DC" w:rsidRDefault="00C429D2" w:rsidP="00C429D2">
                  <w:pPr>
                    <w:rPr>
                      <w:rFonts w:cstheme="minorHAnsi"/>
                      <w:sz w:val="21"/>
                      <w:szCs w:val="21"/>
                    </w:rPr>
                  </w:pPr>
                  <w:r w:rsidRPr="009245DC">
                    <w:rPr>
                      <w:rFonts w:cstheme="minorHAnsi"/>
                      <w:sz w:val="21"/>
                      <w:szCs w:val="21"/>
                    </w:rPr>
                    <w:t>Mathematics</w:t>
                  </w:r>
                </w:p>
              </w:tc>
              <w:tc>
                <w:tcPr>
                  <w:tcW w:w="1597" w:type="dxa"/>
                  <w:shd w:val="clear" w:color="auto" w:fill="FFFFFF" w:themeFill="background1"/>
                </w:tcPr>
                <w:p w14:paraId="3449124C" w14:textId="77777777" w:rsidR="00C429D2" w:rsidRPr="009245DC" w:rsidRDefault="00C429D2" w:rsidP="00C429D2">
                  <w:pPr>
                    <w:jc w:val="center"/>
                    <w:rPr>
                      <w:rFonts w:cstheme="minorHAnsi"/>
                      <w:sz w:val="21"/>
                      <w:szCs w:val="21"/>
                    </w:rPr>
                  </w:pPr>
                  <w:r w:rsidRPr="009245DC">
                    <w:rPr>
                      <w:rFonts w:cstheme="minorHAnsi"/>
                      <w:sz w:val="21"/>
                      <w:szCs w:val="21"/>
                    </w:rPr>
                    <w:t>0.92</w:t>
                  </w:r>
                </w:p>
              </w:tc>
              <w:tc>
                <w:tcPr>
                  <w:tcW w:w="1597" w:type="dxa"/>
                  <w:shd w:val="clear" w:color="auto" w:fill="FFFFFF" w:themeFill="background1"/>
                </w:tcPr>
                <w:p w14:paraId="724FC559" w14:textId="77777777" w:rsidR="00C429D2" w:rsidRPr="009245DC" w:rsidRDefault="00C429D2" w:rsidP="00C429D2">
                  <w:pPr>
                    <w:jc w:val="center"/>
                    <w:rPr>
                      <w:rFonts w:cstheme="minorHAnsi"/>
                      <w:sz w:val="21"/>
                      <w:szCs w:val="21"/>
                    </w:rPr>
                  </w:pPr>
                  <w:r w:rsidRPr="009245DC">
                    <w:rPr>
                      <w:rFonts w:cstheme="minorHAnsi"/>
                      <w:sz w:val="21"/>
                      <w:szCs w:val="21"/>
                    </w:rPr>
                    <w:t>1.17</w:t>
                  </w:r>
                </w:p>
              </w:tc>
              <w:tc>
                <w:tcPr>
                  <w:tcW w:w="1597" w:type="dxa"/>
                  <w:shd w:val="clear" w:color="auto" w:fill="92D050"/>
                </w:tcPr>
                <w:p w14:paraId="7952DC11" w14:textId="77777777" w:rsidR="00C429D2" w:rsidRPr="009245DC" w:rsidRDefault="00C429D2" w:rsidP="00C429D2">
                  <w:pPr>
                    <w:jc w:val="center"/>
                    <w:rPr>
                      <w:rFonts w:cstheme="minorHAnsi"/>
                      <w:sz w:val="21"/>
                      <w:szCs w:val="21"/>
                    </w:rPr>
                  </w:pPr>
                  <w:r w:rsidRPr="009245DC">
                    <w:rPr>
                      <w:rFonts w:cstheme="minorHAnsi"/>
                      <w:sz w:val="21"/>
                      <w:szCs w:val="21"/>
                    </w:rPr>
                    <w:t>2.27</w:t>
                  </w:r>
                </w:p>
              </w:tc>
              <w:tc>
                <w:tcPr>
                  <w:tcW w:w="1597" w:type="dxa"/>
                  <w:shd w:val="clear" w:color="auto" w:fill="FFFFFF" w:themeFill="background1"/>
                </w:tcPr>
                <w:p w14:paraId="7AD17860" w14:textId="77777777" w:rsidR="00C429D2" w:rsidRPr="009245DC" w:rsidRDefault="00981737" w:rsidP="00C429D2">
                  <w:pPr>
                    <w:jc w:val="center"/>
                    <w:rPr>
                      <w:rFonts w:cstheme="minorHAnsi"/>
                      <w:sz w:val="21"/>
                      <w:szCs w:val="21"/>
                    </w:rPr>
                  </w:pPr>
                  <w:r>
                    <w:rPr>
                      <w:rFonts w:cstheme="minorHAnsi"/>
                      <w:sz w:val="21"/>
                      <w:szCs w:val="21"/>
                    </w:rPr>
                    <w:t>0.37</w:t>
                  </w:r>
                </w:p>
              </w:tc>
            </w:tr>
          </w:tbl>
          <w:p w14:paraId="1F8D8DFB" w14:textId="77777777" w:rsidR="00C429D2" w:rsidRPr="009245DC" w:rsidRDefault="00C429D2" w:rsidP="00C429D2">
            <w:pPr>
              <w:rPr>
                <w:rFonts w:cstheme="minorHAnsi"/>
                <w:b/>
                <w:sz w:val="21"/>
                <w:szCs w:val="21"/>
              </w:rPr>
            </w:pPr>
          </w:p>
          <w:p w14:paraId="148CA742" w14:textId="77777777" w:rsidR="00C429D2" w:rsidRPr="009245DC" w:rsidRDefault="00C429D2" w:rsidP="00C429D2">
            <w:pPr>
              <w:rPr>
                <w:rFonts w:cstheme="minorHAnsi"/>
                <w:sz w:val="21"/>
                <w:szCs w:val="21"/>
              </w:rPr>
            </w:pPr>
            <w:r w:rsidRPr="009245DC">
              <w:rPr>
                <w:rFonts w:cstheme="minorHAnsi"/>
                <w:sz w:val="21"/>
                <w:szCs w:val="21"/>
              </w:rPr>
              <w:t xml:space="preserve">We can conclude, that with a 3 year upward trend for the progress made by our Pupil Premium children across KS2, and with progress rates particularly in reading and mathematics that </w:t>
            </w:r>
            <w:r w:rsidR="00981737">
              <w:rPr>
                <w:rFonts w:cstheme="minorHAnsi"/>
                <w:sz w:val="21"/>
                <w:szCs w:val="21"/>
              </w:rPr>
              <w:t xml:space="preserve">are </w:t>
            </w:r>
            <w:r w:rsidRPr="009245DC">
              <w:rPr>
                <w:rFonts w:cstheme="minorHAnsi"/>
                <w:sz w:val="21"/>
                <w:szCs w:val="21"/>
              </w:rPr>
              <w:t xml:space="preserve">statistically significantly higher than the averages for all </w:t>
            </w:r>
            <w:r w:rsidR="00981737">
              <w:rPr>
                <w:rFonts w:cstheme="minorHAnsi"/>
                <w:sz w:val="21"/>
                <w:szCs w:val="21"/>
              </w:rPr>
              <w:t xml:space="preserve">non PP </w:t>
            </w:r>
            <w:r w:rsidRPr="009245DC">
              <w:rPr>
                <w:rFonts w:cstheme="minorHAnsi"/>
                <w:sz w:val="21"/>
                <w:szCs w:val="21"/>
              </w:rPr>
              <w:t>pupils nationally, that our Pupil Premium children will either be exceeding Pupil Premium pupils nationally, or at the very least, the gap will have closed significantly.</w:t>
            </w:r>
          </w:p>
          <w:p w14:paraId="72F956FB" w14:textId="77777777" w:rsidR="00C429D2" w:rsidRPr="009245DC" w:rsidRDefault="00C429D2" w:rsidP="00981737">
            <w:pPr>
              <w:rPr>
                <w:rFonts w:cstheme="minorHAnsi"/>
                <w:sz w:val="21"/>
                <w:szCs w:val="21"/>
              </w:rPr>
            </w:pPr>
          </w:p>
        </w:tc>
      </w:tr>
      <w:tr w:rsidR="00C429D2" w14:paraId="0E3FFF6D" w14:textId="77777777" w:rsidTr="00C429D2">
        <w:tc>
          <w:tcPr>
            <w:tcW w:w="10456" w:type="dxa"/>
            <w:shd w:val="clear" w:color="auto" w:fill="D9D9D9" w:themeFill="background1" w:themeFillShade="D9"/>
          </w:tcPr>
          <w:p w14:paraId="0182B3FF" w14:textId="77777777" w:rsidR="00C429D2" w:rsidRPr="009245DC" w:rsidRDefault="00C429D2" w:rsidP="00A85831">
            <w:pPr>
              <w:pStyle w:val="ListParagraph"/>
              <w:numPr>
                <w:ilvl w:val="0"/>
                <w:numId w:val="1"/>
              </w:numPr>
              <w:ind w:left="360"/>
              <w:rPr>
                <w:rFonts w:cstheme="minorHAnsi"/>
                <w:b/>
                <w:sz w:val="21"/>
                <w:szCs w:val="21"/>
              </w:rPr>
            </w:pPr>
            <w:r w:rsidRPr="009245DC">
              <w:rPr>
                <w:rFonts w:cstheme="minorHAnsi"/>
                <w:b/>
                <w:sz w:val="21"/>
                <w:szCs w:val="21"/>
              </w:rPr>
              <w:t xml:space="preserve">We will seek to increase the average scaled score in reading and maths for our disadvantaged children at the end of Key Stage 2, narrowing the gap with the scaled score achieved by disadvantaged children nationally. </w:t>
            </w:r>
          </w:p>
        </w:tc>
      </w:tr>
      <w:tr w:rsidR="00C429D2" w14:paraId="07F09A40" w14:textId="77777777" w:rsidTr="00C429D2">
        <w:tc>
          <w:tcPr>
            <w:tcW w:w="10456" w:type="dxa"/>
          </w:tcPr>
          <w:p w14:paraId="4836BE82" w14:textId="77777777" w:rsidR="00C429D2" w:rsidRPr="009245DC" w:rsidRDefault="00C429D2" w:rsidP="00C429D2">
            <w:pPr>
              <w:rPr>
                <w:rFonts w:cstheme="minorHAnsi"/>
                <w:i/>
                <w:sz w:val="21"/>
                <w:szCs w:val="21"/>
              </w:rPr>
            </w:pPr>
            <w:r w:rsidRPr="009245DC">
              <w:rPr>
                <w:rFonts w:cstheme="minorHAnsi"/>
                <w:i/>
                <w:sz w:val="21"/>
                <w:szCs w:val="21"/>
              </w:rPr>
              <w:t>(In 2017 the gap is: -2.7 for reading and -1.1 for mathematics.)</w:t>
            </w:r>
          </w:p>
          <w:p w14:paraId="77375242" w14:textId="77777777" w:rsidR="009245DC" w:rsidRPr="009245DC" w:rsidRDefault="009245DC" w:rsidP="00C429D2">
            <w:pPr>
              <w:rPr>
                <w:rFonts w:cstheme="minorHAnsi"/>
                <w:sz w:val="21"/>
                <w:szCs w:val="21"/>
              </w:rPr>
            </w:pPr>
          </w:p>
          <w:p w14:paraId="205BAC02" w14:textId="2CB94489" w:rsidR="00C429D2" w:rsidRPr="009245DC" w:rsidRDefault="000327BA" w:rsidP="00C429D2">
            <w:pPr>
              <w:rPr>
                <w:rFonts w:cstheme="minorHAnsi"/>
                <w:sz w:val="21"/>
                <w:szCs w:val="21"/>
              </w:rPr>
            </w:pPr>
            <w:r>
              <w:rPr>
                <w:rFonts w:cstheme="minorHAnsi"/>
                <w:sz w:val="21"/>
                <w:szCs w:val="21"/>
              </w:rPr>
              <w:t>We</w:t>
            </w:r>
            <w:r w:rsidR="00C429D2" w:rsidRPr="009245DC">
              <w:rPr>
                <w:rFonts w:cstheme="minorHAnsi"/>
                <w:sz w:val="21"/>
                <w:szCs w:val="21"/>
              </w:rPr>
              <w:t xml:space="preserve"> </w:t>
            </w:r>
            <w:r>
              <w:rPr>
                <w:rFonts w:cstheme="minorHAnsi"/>
                <w:sz w:val="21"/>
                <w:szCs w:val="21"/>
              </w:rPr>
              <w:t xml:space="preserve">can report </w:t>
            </w:r>
            <w:r w:rsidR="00C429D2" w:rsidRPr="009245DC">
              <w:rPr>
                <w:rFonts w:cstheme="minorHAnsi"/>
                <w:sz w:val="21"/>
                <w:szCs w:val="21"/>
              </w:rPr>
              <w:t>that the average scaled scores for our Pupil Premium children in reading and mathematics</w:t>
            </w:r>
            <w:r w:rsidR="009245DC" w:rsidRPr="009245DC">
              <w:rPr>
                <w:rFonts w:cstheme="minorHAnsi"/>
                <w:sz w:val="21"/>
                <w:szCs w:val="21"/>
              </w:rPr>
              <w:t xml:space="preserve"> are at least in line with or higher than the average scaled scores for all children nationally.</w:t>
            </w:r>
            <w:r>
              <w:rPr>
                <w:rFonts w:cstheme="minorHAnsi"/>
                <w:sz w:val="21"/>
                <w:szCs w:val="21"/>
              </w:rPr>
              <w:t xml:space="preserve"> Additionally, the school scaled score for PP pupils</w:t>
            </w:r>
            <w:r w:rsidR="00CE02F0">
              <w:rPr>
                <w:rFonts w:cstheme="minorHAnsi"/>
                <w:sz w:val="21"/>
                <w:szCs w:val="21"/>
              </w:rPr>
              <w:t xml:space="preserve"> in Reading</w:t>
            </w:r>
            <w:r>
              <w:rPr>
                <w:rFonts w:cstheme="minorHAnsi"/>
                <w:sz w:val="21"/>
                <w:szCs w:val="21"/>
              </w:rPr>
              <w:t xml:space="preserve"> </w:t>
            </w:r>
            <w:r w:rsidR="00045547">
              <w:rPr>
                <w:rFonts w:cstheme="minorHAnsi"/>
                <w:sz w:val="21"/>
                <w:szCs w:val="21"/>
              </w:rPr>
              <w:t xml:space="preserve">narrowly </w:t>
            </w:r>
            <w:r>
              <w:rPr>
                <w:rFonts w:cstheme="minorHAnsi"/>
                <w:sz w:val="21"/>
                <w:szCs w:val="21"/>
              </w:rPr>
              <w:t xml:space="preserve">exceeds the scaled score for </w:t>
            </w:r>
            <w:proofErr w:type="gramStart"/>
            <w:r>
              <w:rPr>
                <w:rFonts w:cstheme="minorHAnsi"/>
                <w:sz w:val="21"/>
                <w:szCs w:val="21"/>
              </w:rPr>
              <w:t>non PP</w:t>
            </w:r>
            <w:proofErr w:type="gramEnd"/>
            <w:r>
              <w:rPr>
                <w:rFonts w:cstheme="minorHAnsi"/>
                <w:sz w:val="21"/>
                <w:szCs w:val="21"/>
              </w:rPr>
              <w:t xml:space="preserve"> pupils </w:t>
            </w:r>
            <w:r w:rsidR="00045547">
              <w:rPr>
                <w:rFonts w:cstheme="minorHAnsi"/>
                <w:sz w:val="21"/>
                <w:szCs w:val="21"/>
              </w:rPr>
              <w:t>nationally.</w:t>
            </w:r>
          </w:p>
          <w:p w14:paraId="77E29048" w14:textId="77777777" w:rsidR="009245DC" w:rsidRPr="009245DC" w:rsidRDefault="009245DC" w:rsidP="00C429D2">
            <w:pPr>
              <w:rPr>
                <w:rFonts w:cstheme="minorHAnsi"/>
                <w:sz w:val="21"/>
                <w:szCs w:val="21"/>
              </w:rPr>
            </w:pPr>
          </w:p>
          <w:tbl>
            <w:tblPr>
              <w:tblStyle w:val="TableGrid"/>
              <w:tblW w:w="0" w:type="auto"/>
              <w:tblLook w:val="04A0" w:firstRow="1" w:lastRow="0" w:firstColumn="1" w:lastColumn="0" w:noHBand="0" w:noVBand="1"/>
            </w:tblPr>
            <w:tblGrid>
              <w:gridCol w:w="2211"/>
              <w:gridCol w:w="1795"/>
              <w:gridCol w:w="2946"/>
              <w:gridCol w:w="3283"/>
            </w:tblGrid>
            <w:tr w:rsidR="000327BA" w:rsidRPr="009245DC" w14:paraId="1E3DCC7B" w14:textId="77777777" w:rsidTr="000327BA">
              <w:tc>
                <w:tcPr>
                  <w:tcW w:w="2211" w:type="dxa"/>
                  <w:tcBorders>
                    <w:top w:val="nil"/>
                    <w:left w:val="nil"/>
                  </w:tcBorders>
                </w:tcPr>
                <w:p w14:paraId="49C605E7" w14:textId="77777777" w:rsidR="000327BA" w:rsidRPr="009245DC" w:rsidRDefault="000327BA" w:rsidP="00C429D2">
                  <w:pPr>
                    <w:rPr>
                      <w:rFonts w:cstheme="minorHAnsi"/>
                      <w:sz w:val="21"/>
                      <w:szCs w:val="21"/>
                    </w:rPr>
                  </w:pPr>
                </w:p>
              </w:tc>
              <w:tc>
                <w:tcPr>
                  <w:tcW w:w="1795" w:type="dxa"/>
                  <w:shd w:val="clear" w:color="auto" w:fill="F2F2F2" w:themeFill="background1" w:themeFillShade="F2"/>
                </w:tcPr>
                <w:p w14:paraId="4CDD508D" w14:textId="77777777" w:rsidR="000327BA" w:rsidRPr="009245DC" w:rsidRDefault="000327BA" w:rsidP="00C429D2">
                  <w:pPr>
                    <w:rPr>
                      <w:rFonts w:cstheme="minorHAnsi"/>
                      <w:b/>
                      <w:sz w:val="21"/>
                      <w:szCs w:val="21"/>
                    </w:rPr>
                  </w:pPr>
                  <w:r>
                    <w:rPr>
                      <w:rFonts w:cstheme="minorHAnsi"/>
                      <w:b/>
                      <w:sz w:val="21"/>
                      <w:szCs w:val="21"/>
                    </w:rPr>
                    <w:t>National all pupils 2019</w:t>
                  </w:r>
                </w:p>
              </w:tc>
              <w:tc>
                <w:tcPr>
                  <w:tcW w:w="2946" w:type="dxa"/>
                  <w:shd w:val="clear" w:color="auto" w:fill="F2F2F2" w:themeFill="background1" w:themeFillShade="F2"/>
                </w:tcPr>
                <w:p w14:paraId="6167FEB2" w14:textId="77777777" w:rsidR="000327BA" w:rsidRPr="009245DC" w:rsidRDefault="000327BA" w:rsidP="00C429D2">
                  <w:pPr>
                    <w:rPr>
                      <w:rFonts w:cstheme="minorHAnsi"/>
                      <w:b/>
                      <w:sz w:val="21"/>
                      <w:szCs w:val="21"/>
                    </w:rPr>
                  </w:pPr>
                  <w:r>
                    <w:rPr>
                      <w:rFonts w:cstheme="minorHAnsi"/>
                      <w:b/>
                      <w:sz w:val="21"/>
                      <w:szCs w:val="21"/>
                    </w:rPr>
                    <w:t>National non PP Pupils 2019</w:t>
                  </w:r>
                </w:p>
              </w:tc>
              <w:tc>
                <w:tcPr>
                  <w:tcW w:w="3283" w:type="dxa"/>
                  <w:shd w:val="clear" w:color="auto" w:fill="F2F2F2" w:themeFill="background1" w:themeFillShade="F2"/>
                </w:tcPr>
                <w:p w14:paraId="6DA2EBD2" w14:textId="77777777" w:rsidR="000327BA" w:rsidRPr="009245DC" w:rsidRDefault="000327BA" w:rsidP="00C429D2">
                  <w:pPr>
                    <w:rPr>
                      <w:rFonts w:cstheme="minorHAnsi"/>
                      <w:b/>
                      <w:sz w:val="21"/>
                      <w:szCs w:val="21"/>
                    </w:rPr>
                  </w:pPr>
                  <w:r w:rsidRPr="009245DC">
                    <w:rPr>
                      <w:rFonts w:cstheme="minorHAnsi"/>
                      <w:b/>
                      <w:sz w:val="21"/>
                      <w:szCs w:val="21"/>
                    </w:rPr>
                    <w:t>School Pupil Premium pupils 2019</w:t>
                  </w:r>
                </w:p>
              </w:tc>
            </w:tr>
            <w:tr w:rsidR="000327BA" w:rsidRPr="009245DC" w14:paraId="29C89168" w14:textId="77777777" w:rsidTr="000327BA">
              <w:tc>
                <w:tcPr>
                  <w:tcW w:w="2211" w:type="dxa"/>
                  <w:shd w:val="clear" w:color="auto" w:fill="F2F2F2" w:themeFill="background1" w:themeFillShade="F2"/>
                </w:tcPr>
                <w:p w14:paraId="43DA4175" w14:textId="77777777" w:rsidR="000327BA" w:rsidRPr="009245DC" w:rsidRDefault="000327BA" w:rsidP="00C429D2">
                  <w:pPr>
                    <w:rPr>
                      <w:rFonts w:cstheme="minorHAnsi"/>
                      <w:sz w:val="21"/>
                      <w:szCs w:val="21"/>
                    </w:rPr>
                  </w:pPr>
                  <w:r w:rsidRPr="009245DC">
                    <w:rPr>
                      <w:rFonts w:cstheme="minorHAnsi"/>
                      <w:sz w:val="21"/>
                      <w:szCs w:val="21"/>
                    </w:rPr>
                    <w:t>Reading average scaled score</w:t>
                  </w:r>
                </w:p>
              </w:tc>
              <w:tc>
                <w:tcPr>
                  <w:tcW w:w="1795" w:type="dxa"/>
                </w:tcPr>
                <w:p w14:paraId="270DF6E1" w14:textId="77777777" w:rsidR="000327BA" w:rsidRPr="009245DC" w:rsidRDefault="000327BA" w:rsidP="009245DC">
                  <w:pPr>
                    <w:jc w:val="center"/>
                    <w:rPr>
                      <w:rFonts w:cstheme="minorHAnsi"/>
                      <w:sz w:val="21"/>
                      <w:szCs w:val="21"/>
                    </w:rPr>
                  </w:pPr>
                  <w:r w:rsidRPr="009245DC">
                    <w:rPr>
                      <w:rFonts w:cstheme="minorHAnsi"/>
                      <w:sz w:val="21"/>
                      <w:szCs w:val="21"/>
                    </w:rPr>
                    <w:t>104</w:t>
                  </w:r>
                  <w:r>
                    <w:rPr>
                      <w:rFonts w:cstheme="minorHAnsi"/>
                      <w:sz w:val="21"/>
                      <w:szCs w:val="21"/>
                    </w:rPr>
                    <w:t>.4</w:t>
                  </w:r>
                </w:p>
              </w:tc>
              <w:tc>
                <w:tcPr>
                  <w:tcW w:w="2946" w:type="dxa"/>
                  <w:shd w:val="clear" w:color="auto" w:fill="auto"/>
                </w:tcPr>
                <w:p w14:paraId="5DC4D341" w14:textId="77777777" w:rsidR="000327BA" w:rsidRPr="009245DC" w:rsidRDefault="000327BA" w:rsidP="009245DC">
                  <w:pPr>
                    <w:jc w:val="center"/>
                    <w:rPr>
                      <w:rFonts w:cstheme="minorHAnsi"/>
                      <w:sz w:val="21"/>
                      <w:szCs w:val="21"/>
                    </w:rPr>
                  </w:pPr>
                  <w:r>
                    <w:rPr>
                      <w:rFonts w:cstheme="minorHAnsi"/>
                      <w:sz w:val="21"/>
                      <w:szCs w:val="21"/>
                    </w:rPr>
                    <w:t>105.5</w:t>
                  </w:r>
                </w:p>
              </w:tc>
              <w:tc>
                <w:tcPr>
                  <w:tcW w:w="3283" w:type="dxa"/>
                  <w:shd w:val="clear" w:color="auto" w:fill="92D050"/>
                </w:tcPr>
                <w:p w14:paraId="62E94352" w14:textId="77777777" w:rsidR="000327BA" w:rsidRPr="009245DC" w:rsidRDefault="000327BA" w:rsidP="009245DC">
                  <w:pPr>
                    <w:jc w:val="center"/>
                    <w:rPr>
                      <w:rFonts w:cstheme="minorHAnsi"/>
                      <w:sz w:val="21"/>
                      <w:szCs w:val="21"/>
                    </w:rPr>
                  </w:pPr>
                  <w:r>
                    <w:rPr>
                      <w:rFonts w:cstheme="minorHAnsi"/>
                      <w:sz w:val="21"/>
                      <w:szCs w:val="21"/>
                    </w:rPr>
                    <w:t>105.8</w:t>
                  </w:r>
                </w:p>
              </w:tc>
            </w:tr>
            <w:tr w:rsidR="000327BA" w:rsidRPr="009245DC" w14:paraId="79E12B9C" w14:textId="77777777" w:rsidTr="000327BA">
              <w:tc>
                <w:tcPr>
                  <w:tcW w:w="2211" w:type="dxa"/>
                  <w:shd w:val="clear" w:color="auto" w:fill="F2F2F2" w:themeFill="background1" w:themeFillShade="F2"/>
                </w:tcPr>
                <w:p w14:paraId="0E7F1CD9" w14:textId="77777777" w:rsidR="000327BA" w:rsidRPr="009245DC" w:rsidRDefault="000327BA" w:rsidP="00C429D2">
                  <w:pPr>
                    <w:rPr>
                      <w:rFonts w:cstheme="minorHAnsi"/>
                      <w:sz w:val="21"/>
                      <w:szCs w:val="21"/>
                    </w:rPr>
                  </w:pPr>
                  <w:r w:rsidRPr="009245DC">
                    <w:rPr>
                      <w:rFonts w:cstheme="minorHAnsi"/>
                      <w:sz w:val="21"/>
                      <w:szCs w:val="21"/>
                    </w:rPr>
                    <w:t>Mathematics scaled score</w:t>
                  </w:r>
                </w:p>
              </w:tc>
              <w:tc>
                <w:tcPr>
                  <w:tcW w:w="1795" w:type="dxa"/>
                </w:tcPr>
                <w:p w14:paraId="3D82710C" w14:textId="77777777" w:rsidR="000327BA" w:rsidRPr="009245DC" w:rsidRDefault="000327BA" w:rsidP="009245DC">
                  <w:pPr>
                    <w:jc w:val="center"/>
                    <w:rPr>
                      <w:rFonts w:cstheme="minorHAnsi"/>
                      <w:sz w:val="21"/>
                      <w:szCs w:val="21"/>
                    </w:rPr>
                  </w:pPr>
                  <w:r w:rsidRPr="009245DC">
                    <w:rPr>
                      <w:rFonts w:cstheme="minorHAnsi"/>
                      <w:sz w:val="21"/>
                      <w:szCs w:val="21"/>
                    </w:rPr>
                    <w:t>105</w:t>
                  </w:r>
                  <w:r>
                    <w:rPr>
                      <w:rFonts w:cstheme="minorHAnsi"/>
                      <w:sz w:val="21"/>
                      <w:szCs w:val="21"/>
                    </w:rPr>
                    <w:t>.0</w:t>
                  </w:r>
                </w:p>
              </w:tc>
              <w:tc>
                <w:tcPr>
                  <w:tcW w:w="2946" w:type="dxa"/>
                  <w:shd w:val="clear" w:color="auto" w:fill="auto"/>
                </w:tcPr>
                <w:p w14:paraId="5037A663" w14:textId="77777777" w:rsidR="000327BA" w:rsidRPr="009245DC" w:rsidRDefault="000327BA" w:rsidP="009245DC">
                  <w:pPr>
                    <w:jc w:val="center"/>
                    <w:rPr>
                      <w:rFonts w:cstheme="minorHAnsi"/>
                      <w:sz w:val="21"/>
                      <w:szCs w:val="21"/>
                    </w:rPr>
                  </w:pPr>
                  <w:r>
                    <w:rPr>
                      <w:rFonts w:cstheme="minorHAnsi"/>
                      <w:sz w:val="21"/>
                      <w:szCs w:val="21"/>
                    </w:rPr>
                    <w:t>106.1</w:t>
                  </w:r>
                </w:p>
              </w:tc>
              <w:tc>
                <w:tcPr>
                  <w:tcW w:w="3283" w:type="dxa"/>
                  <w:shd w:val="clear" w:color="auto" w:fill="92D050"/>
                </w:tcPr>
                <w:p w14:paraId="01F6F351" w14:textId="77777777" w:rsidR="000327BA" w:rsidRPr="009245DC" w:rsidRDefault="000327BA" w:rsidP="009245DC">
                  <w:pPr>
                    <w:jc w:val="center"/>
                    <w:rPr>
                      <w:rFonts w:cstheme="minorHAnsi"/>
                      <w:sz w:val="21"/>
                      <w:szCs w:val="21"/>
                    </w:rPr>
                  </w:pPr>
                  <w:r w:rsidRPr="009245DC">
                    <w:rPr>
                      <w:rFonts w:cstheme="minorHAnsi"/>
                      <w:sz w:val="21"/>
                      <w:szCs w:val="21"/>
                    </w:rPr>
                    <w:t>105</w:t>
                  </w:r>
                  <w:r>
                    <w:rPr>
                      <w:rFonts w:cstheme="minorHAnsi"/>
                      <w:sz w:val="21"/>
                      <w:szCs w:val="21"/>
                    </w:rPr>
                    <w:t>.1</w:t>
                  </w:r>
                </w:p>
              </w:tc>
            </w:tr>
          </w:tbl>
          <w:p w14:paraId="4E5300ED" w14:textId="77777777" w:rsidR="009245DC" w:rsidRPr="009245DC" w:rsidRDefault="009245DC" w:rsidP="00C429D2">
            <w:pPr>
              <w:rPr>
                <w:rFonts w:cstheme="minorHAnsi"/>
                <w:sz w:val="21"/>
                <w:szCs w:val="21"/>
              </w:rPr>
            </w:pPr>
          </w:p>
          <w:p w14:paraId="61575B3D" w14:textId="77777777" w:rsidR="009245DC" w:rsidRDefault="00045547" w:rsidP="00045547">
            <w:pPr>
              <w:rPr>
                <w:rFonts w:cstheme="minorHAnsi"/>
                <w:sz w:val="21"/>
                <w:szCs w:val="21"/>
              </w:rPr>
            </w:pPr>
            <w:r>
              <w:rPr>
                <w:rFonts w:cstheme="minorHAnsi"/>
                <w:sz w:val="21"/>
                <w:szCs w:val="21"/>
              </w:rPr>
              <w:t>As such, w</w:t>
            </w:r>
            <w:r w:rsidR="009245DC" w:rsidRPr="009245DC">
              <w:rPr>
                <w:rFonts w:cstheme="minorHAnsi"/>
                <w:sz w:val="21"/>
                <w:szCs w:val="21"/>
              </w:rPr>
              <w:t xml:space="preserve">e feel it is more than likely that we have </w:t>
            </w:r>
            <w:r>
              <w:rPr>
                <w:rFonts w:cstheme="minorHAnsi"/>
                <w:sz w:val="21"/>
                <w:szCs w:val="21"/>
              </w:rPr>
              <w:t>made progress on this objective.</w:t>
            </w:r>
          </w:p>
          <w:p w14:paraId="6F541683" w14:textId="77777777" w:rsidR="00045547" w:rsidRPr="009245DC" w:rsidRDefault="00045547" w:rsidP="00045547">
            <w:pPr>
              <w:rPr>
                <w:rFonts w:cstheme="minorHAnsi"/>
                <w:sz w:val="21"/>
                <w:szCs w:val="21"/>
              </w:rPr>
            </w:pPr>
          </w:p>
        </w:tc>
      </w:tr>
      <w:tr w:rsidR="00C429D2" w14:paraId="2D3F2D74" w14:textId="77777777" w:rsidTr="00C429D2">
        <w:tc>
          <w:tcPr>
            <w:tcW w:w="10456" w:type="dxa"/>
            <w:shd w:val="clear" w:color="auto" w:fill="D9D9D9" w:themeFill="background1" w:themeFillShade="D9"/>
          </w:tcPr>
          <w:p w14:paraId="345A4A10" w14:textId="77777777" w:rsidR="009245DC" w:rsidRPr="009245DC" w:rsidRDefault="009245DC" w:rsidP="009245DC">
            <w:pPr>
              <w:pStyle w:val="ListParagraph"/>
              <w:numPr>
                <w:ilvl w:val="0"/>
                <w:numId w:val="1"/>
              </w:numPr>
              <w:ind w:left="360"/>
              <w:rPr>
                <w:rFonts w:cstheme="minorHAnsi"/>
                <w:b/>
                <w:sz w:val="21"/>
                <w:szCs w:val="21"/>
              </w:rPr>
            </w:pPr>
            <w:r w:rsidRPr="009245DC">
              <w:rPr>
                <w:rFonts w:cstheme="minorHAnsi"/>
                <w:b/>
                <w:sz w:val="21"/>
                <w:szCs w:val="21"/>
              </w:rPr>
              <w:t>We will identify opportunities in the curriculum and wider opportunities to look at other cultures/countries, study famous people from ethnic minorities and with a variety of abilities and to celebrate diversity.</w:t>
            </w:r>
          </w:p>
          <w:p w14:paraId="06D8263A" w14:textId="77777777" w:rsidR="00C429D2" w:rsidRPr="009245DC" w:rsidRDefault="00C429D2" w:rsidP="00A85831">
            <w:pPr>
              <w:rPr>
                <w:rFonts w:cstheme="minorHAnsi"/>
                <w:b/>
                <w:sz w:val="21"/>
                <w:szCs w:val="21"/>
              </w:rPr>
            </w:pPr>
          </w:p>
        </w:tc>
      </w:tr>
      <w:tr w:rsidR="00C429D2" w14:paraId="04FFE312" w14:textId="77777777" w:rsidTr="00C429D2">
        <w:tc>
          <w:tcPr>
            <w:tcW w:w="10456" w:type="dxa"/>
          </w:tcPr>
          <w:p w14:paraId="6BBF7F53" w14:textId="77777777" w:rsidR="00C429D2" w:rsidRPr="009245DC" w:rsidRDefault="009245DC" w:rsidP="00A85831">
            <w:pPr>
              <w:rPr>
                <w:rFonts w:cstheme="minorHAnsi"/>
                <w:sz w:val="21"/>
                <w:szCs w:val="21"/>
              </w:rPr>
            </w:pPr>
            <w:r w:rsidRPr="009245DC">
              <w:rPr>
                <w:rFonts w:cstheme="minorHAnsi"/>
                <w:sz w:val="21"/>
                <w:szCs w:val="21"/>
              </w:rPr>
              <w:t>This work is underway as part of our development of the wider curriculum.</w:t>
            </w:r>
          </w:p>
          <w:p w14:paraId="2C84783B" w14:textId="77777777" w:rsidR="009245DC" w:rsidRPr="009245DC" w:rsidRDefault="009245DC" w:rsidP="00A85831">
            <w:pPr>
              <w:rPr>
                <w:rFonts w:cstheme="minorHAnsi"/>
                <w:sz w:val="21"/>
                <w:szCs w:val="21"/>
              </w:rPr>
            </w:pPr>
            <w:r w:rsidRPr="009245DC">
              <w:rPr>
                <w:rFonts w:cstheme="minorHAnsi"/>
                <w:sz w:val="21"/>
                <w:szCs w:val="21"/>
              </w:rPr>
              <w:t>For our curriculum, we have 3 overarching themes, which we feel support us in tailoring our curriculum to the very particular needs of our community. They are:</w:t>
            </w:r>
          </w:p>
          <w:p w14:paraId="71054A9E" w14:textId="77777777" w:rsidR="009245DC" w:rsidRPr="009245DC" w:rsidRDefault="009245DC" w:rsidP="009245DC">
            <w:pPr>
              <w:pStyle w:val="ListParagraph"/>
              <w:numPr>
                <w:ilvl w:val="0"/>
                <w:numId w:val="2"/>
              </w:numPr>
              <w:ind w:left="417"/>
              <w:rPr>
                <w:rFonts w:cstheme="minorHAnsi"/>
                <w:sz w:val="21"/>
                <w:szCs w:val="21"/>
              </w:rPr>
            </w:pPr>
            <w:r w:rsidRPr="009245DC">
              <w:rPr>
                <w:rFonts w:cstheme="minorHAnsi"/>
                <w:sz w:val="21"/>
                <w:szCs w:val="21"/>
              </w:rPr>
              <w:t>To have high aspirations;</w:t>
            </w:r>
          </w:p>
          <w:p w14:paraId="730C91C5" w14:textId="77777777" w:rsidR="009245DC" w:rsidRPr="009245DC" w:rsidRDefault="009245DC" w:rsidP="009245DC">
            <w:pPr>
              <w:pStyle w:val="ListParagraph"/>
              <w:numPr>
                <w:ilvl w:val="0"/>
                <w:numId w:val="2"/>
              </w:numPr>
              <w:ind w:left="417"/>
              <w:rPr>
                <w:rFonts w:cstheme="minorHAnsi"/>
                <w:sz w:val="21"/>
                <w:szCs w:val="21"/>
              </w:rPr>
            </w:pPr>
            <w:r w:rsidRPr="009245DC">
              <w:rPr>
                <w:rFonts w:cstheme="minorHAnsi"/>
                <w:sz w:val="21"/>
                <w:szCs w:val="21"/>
              </w:rPr>
              <w:t>To celebrate differences in the world around us;</w:t>
            </w:r>
          </w:p>
          <w:p w14:paraId="444134DE" w14:textId="77777777" w:rsidR="009245DC" w:rsidRPr="009245DC" w:rsidRDefault="009245DC" w:rsidP="009245DC">
            <w:pPr>
              <w:pStyle w:val="ListParagraph"/>
              <w:numPr>
                <w:ilvl w:val="0"/>
                <w:numId w:val="2"/>
              </w:numPr>
              <w:ind w:left="417"/>
              <w:rPr>
                <w:rFonts w:cstheme="minorHAnsi"/>
                <w:sz w:val="21"/>
                <w:szCs w:val="21"/>
              </w:rPr>
            </w:pPr>
            <w:r w:rsidRPr="009245DC">
              <w:rPr>
                <w:rFonts w:cstheme="minorHAnsi"/>
                <w:sz w:val="21"/>
                <w:szCs w:val="21"/>
              </w:rPr>
              <w:t>To develop the skills and personal qualities to respond to and manage change positively.</w:t>
            </w:r>
          </w:p>
          <w:p w14:paraId="1495FDB2" w14:textId="77777777" w:rsidR="009245DC" w:rsidRDefault="009245DC" w:rsidP="009245DC">
            <w:pPr>
              <w:ind w:left="57"/>
              <w:rPr>
                <w:rFonts w:cstheme="minorHAnsi"/>
                <w:sz w:val="21"/>
                <w:szCs w:val="21"/>
              </w:rPr>
            </w:pPr>
          </w:p>
          <w:p w14:paraId="59324F5C" w14:textId="4479F9B2" w:rsidR="009245DC" w:rsidRPr="009245DC" w:rsidRDefault="009245DC" w:rsidP="009245DC">
            <w:pPr>
              <w:ind w:left="57"/>
              <w:rPr>
                <w:rFonts w:cstheme="minorHAnsi"/>
                <w:sz w:val="21"/>
                <w:szCs w:val="21"/>
              </w:rPr>
            </w:pPr>
            <w:r w:rsidRPr="009245DC">
              <w:rPr>
                <w:rFonts w:cstheme="minorHAnsi"/>
                <w:sz w:val="21"/>
                <w:szCs w:val="21"/>
              </w:rPr>
              <w:t>This work therefore tackles this objective ‘head on’.</w:t>
            </w:r>
            <w:r>
              <w:rPr>
                <w:rFonts w:cstheme="minorHAnsi"/>
                <w:sz w:val="21"/>
                <w:szCs w:val="21"/>
              </w:rPr>
              <w:t xml:space="preserve"> Progress with this objective will be better reported on, after the end of the first year of implementation of the wider curriculum (July 202</w:t>
            </w:r>
            <w:r w:rsidR="0012520E">
              <w:rPr>
                <w:rFonts w:cstheme="minorHAnsi"/>
                <w:sz w:val="21"/>
                <w:szCs w:val="21"/>
              </w:rPr>
              <w:t>2 – given the disruption of the pandemic</w:t>
            </w:r>
            <w:r>
              <w:rPr>
                <w:rFonts w:cstheme="minorHAnsi"/>
                <w:sz w:val="21"/>
                <w:szCs w:val="21"/>
              </w:rPr>
              <w:t xml:space="preserve">), when we review it, evaluate </w:t>
            </w:r>
            <w:proofErr w:type="gramStart"/>
            <w:r>
              <w:rPr>
                <w:rFonts w:cstheme="minorHAnsi"/>
                <w:sz w:val="21"/>
                <w:szCs w:val="21"/>
              </w:rPr>
              <w:t>it</w:t>
            </w:r>
            <w:proofErr w:type="gramEnd"/>
            <w:r>
              <w:rPr>
                <w:rFonts w:cstheme="minorHAnsi"/>
                <w:sz w:val="21"/>
                <w:szCs w:val="21"/>
              </w:rPr>
              <w:t xml:space="preserve"> and make </w:t>
            </w:r>
            <w:r w:rsidR="00AC0E77">
              <w:rPr>
                <w:rFonts w:cstheme="minorHAnsi"/>
                <w:sz w:val="21"/>
                <w:szCs w:val="21"/>
              </w:rPr>
              <w:t>further improvements</w:t>
            </w:r>
            <w:r>
              <w:rPr>
                <w:rFonts w:cstheme="minorHAnsi"/>
                <w:sz w:val="21"/>
                <w:szCs w:val="21"/>
              </w:rPr>
              <w:t>.</w:t>
            </w:r>
          </w:p>
          <w:p w14:paraId="7A1B5103" w14:textId="77777777" w:rsidR="009245DC" w:rsidRPr="009245DC" w:rsidRDefault="009245DC" w:rsidP="00A85831">
            <w:pPr>
              <w:rPr>
                <w:rFonts w:cstheme="minorHAnsi"/>
                <w:sz w:val="21"/>
                <w:szCs w:val="21"/>
              </w:rPr>
            </w:pPr>
          </w:p>
        </w:tc>
      </w:tr>
    </w:tbl>
    <w:p w14:paraId="67B6CA21" w14:textId="77777777" w:rsidR="00C429D2" w:rsidRPr="00A85831" w:rsidRDefault="00C429D2" w:rsidP="00A85831">
      <w:pPr>
        <w:rPr>
          <w:rFonts w:cstheme="minorHAnsi"/>
        </w:rPr>
      </w:pPr>
    </w:p>
    <w:p w14:paraId="6A7554B6" w14:textId="77777777" w:rsidR="005C49D6" w:rsidRPr="00A85831" w:rsidRDefault="005C49D6" w:rsidP="005C49D6">
      <w:pPr>
        <w:rPr>
          <w:rFonts w:cstheme="minorHAnsi"/>
          <w:b/>
          <w:u w:val="single"/>
        </w:rPr>
      </w:pPr>
    </w:p>
    <w:p w14:paraId="323FCC92" w14:textId="77777777" w:rsidR="005C49D6" w:rsidRPr="00A85831" w:rsidRDefault="005C49D6" w:rsidP="005C49D6">
      <w:pPr>
        <w:rPr>
          <w:rFonts w:cstheme="minorHAnsi"/>
        </w:rPr>
      </w:pPr>
    </w:p>
    <w:sectPr w:rsidR="005C49D6" w:rsidRPr="00A85831" w:rsidSect="005C49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7FBC"/>
    <w:multiLevelType w:val="hybridMultilevel"/>
    <w:tmpl w:val="6378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947E9"/>
    <w:multiLevelType w:val="hybridMultilevel"/>
    <w:tmpl w:val="A49E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D6"/>
    <w:rsid w:val="000327BA"/>
    <w:rsid w:val="00045547"/>
    <w:rsid w:val="0012520E"/>
    <w:rsid w:val="001B214D"/>
    <w:rsid w:val="00556F95"/>
    <w:rsid w:val="005C49D6"/>
    <w:rsid w:val="009245DC"/>
    <w:rsid w:val="00975BB6"/>
    <w:rsid w:val="00981737"/>
    <w:rsid w:val="00A85831"/>
    <w:rsid w:val="00AC0E77"/>
    <w:rsid w:val="00C429D2"/>
    <w:rsid w:val="00CE02F0"/>
    <w:rsid w:val="00E8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29DF"/>
  <w15:chartTrackingRefBased/>
  <w15:docId w15:val="{8F4928A2-C5C0-4F68-A775-44A14B79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RAbrahams</dc:creator>
  <cp:keywords/>
  <dc:description/>
  <cp:lastModifiedBy>RAbrahams</cp:lastModifiedBy>
  <cp:revision>2</cp:revision>
  <dcterms:created xsi:type="dcterms:W3CDTF">2021-09-10T16:50:00Z</dcterms:created>
  <dcterms:modified xsi:type="dcterms:W3CDTF">2021-09-10T16:50:00Z</dcterms:modified>
</cp:coreProperties>
</file>